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2" w:rsidRPr="0071369D" w:rsidRDefault="00F03AC2" w:rsidP="0071369D">
      <w:pPr>
        <w:pStyle w:val="Heading3"/>
        <w:rPr>
          <w:rFonts w:ascii="Helvetica" w:hAnsi="Helvetica"/>
        </w:rPr>
      </w:pPr>
      <w:bookmarkStart w:id="0" w:name="_GoBack"/>
      <w:bookmarkEnd w:id="0"/>
      <w:r w:rsidRPr="00F03AC2">
        <w:rPr>
          <w:rFonts w:ascii="Helvetica" w:hAnsi="Helvetica"/>
        </w:rPr>
        <w:t xml:space="preserve">Aide Memoire for Heads </w:t>
      </w:r>
      <w:r w:rsidR="00262DFB">
        <w:rPr>
          <w:rFonts w:ascii="Helvetica" w:hAnsi="Helvetica"/>
        </w:rPr>
        <w:t xml:space="preserve">when </w:t>
      </w:r>
      <w:r w:rsidRPr="00F03AC2">
        <w:rPr>
          <w:rFonts w:ascii="Helvetica" w:hAnsi="Helvetica"/>
        </w:rPr>
        <w:t xml:space="preserve">Checking Compliance </w:t>
      </w:r>
    </w:p>
    <w:p w:rsidR="005E47B2" w:rsidRDefault="00262DFB" w:rsidP="00CB4E64">
      <w:pPr>
        <w:pStyle w:val="Body"/>
        <w:numPr>
          <w:ilvl w:val="0"/>
          <w:numId w:val="5"/>
        </w:numPr>
        <w:rPr>
          <w:position w:val="4"/>
          <w:sz w:val="29"/>
          <w:szCs w:val="29"/>
        </w:rPr>
      </w:pPr>
      <w:r>
        <w:t>Follow the guidance in the Regulatory H</w:t>
      </w:r>
      <w:r w:rsidR="00B638DD">
        <w:t>andbook closely in relation to required policies and procedures, paying special attention to:</w:t>
      </w:r>
    </w:p>
    <w:p w:rsidR="005E47B2" w:rsidRPr="00F03AC2" w:rsidRDefault="00B638DD" w:rsidP="00CB4E64">
      <w:pPr>
        <w:pStyle w:val="Body"/>
        <w:numPr>
          <w:ilvl w:val="3"/>
          <w:numId w:val="3"/>
        </w:numPr>
      </w:pPr>
      <w:r w:rsidRPr="00F03AC2">
        <w:t>Safeguarding/child protection</w:t>
      </w:r>
    </w:p>
    <w:p w:rsidR="00F03AC2" w:rsidRPr="00F03AC2" w:rsidRDefault="00F03AC2" w:rsidP="00CB4E64">
      <w:pPr>
        <w:pStyle w:val="Body"/>
        <w:numPr>
          <w:ilvl w:val="3"/>
          <w:numId w:val="3"/>
        </w:numPr>
      </w:pPr>
      <w:r w:rsidRPr="00F03AC2">
        <w:t>Recruitment</w:t>
      </w:r>
    </w:p>
    <w:p w:rsidR="00F03AC2" w:rsidRDefault="00F03AC2" w:rsidP="00CB4E64">
      <w:pPr>
        <w:pStyle w:val="Body"/>
        <w:numPr>
          <w:ilvl w:val="3"/>
          <w:numId w:val="3"/>
        </w:numPr>
      </w:pPr>
      <w:r w:rsidRPr="00F03AC2">
        <w:t xml:space="preserve">Single </w:t>
      </w:r>
      <w:r w:rsidR="001B58C5">
        <w:t>C</w:t>
      </w:r>
      <w:r w:rsidRPr="00F03AC2">
        <w:t xml:space="preserve">entral </w:t>
      </w:r>
      <w:r w:rsidR="001B58C5">
        <w:t>R</w:t>
      </w:r>
      <w:r w:rsidRPr="00F03AC2">
        <w:t>egister</w:t>
      </w:r>
    </w:p>
    <w:p w:rsidR="00F03AC2" w:rsidRDefault="00786535" w:rsidP="00CB4E64">
      <w:pPr>
        <w:pStyle w:val="Body"/>
        <w:numPr>
          <w:ilvl w:val="5"/>
          <w:numId w:val="2"/>
        </w:numPr>
      </w:pPr>
      <w:r>
        <w:t xml:space="preserve">In reviewing the </w:t>
      </w:r>
      <w:r w:rsidR="001B58C5">
        <w:t xml:space="preserve">SCR </w:t>
      </w:r>
      <w:r>
        <w:t>be certain who should be included and the checks they need, be clear about checks required</w:t>
      </w:r>
      <w:r w:rsidR="00262DFB">
        <w:t xml:space="preserve"> for regulated and unregulated activity and</w:t>
      </w:r>
      <w:r>
        <w:t xml:space="preserve"> for different categories (</w:t>
      </w:r>
      <w:r w:rsidR="00262DFB">
        <w:t xml:space="preserve">e.g. </w:t>
      </w:r>
      <w:r w:rsidR="001B58C5">
        <w:t xml:space="preserve">gap </w:t>
      </w:r>
      <w:r>
        <w:t>students, volunteers, governors, casual staff, agency staff</w:t>
      </w:r>
      <w:r w:rsidR="00262DFB">
        <w:t>, sports coaches</w:t>
      </w:r>
      <w:r>
        <w:t xml:space="preserve"> and contractors). Ensure entries are consistent with information in staff files and make </w:t>
      </w:r>
      <w:r w:rsidR="00262DFB">
        <w:t xml:space="preserve">sure that </w:t>
      </w:r>
      <w:r>
        <w:t xml:space="preserve">a full copy of the register </w:t>
      </w:r>
      <w:r w:rsidR="00262DFB">
        <w:t xml:space="preserve">is </w:t>
      </w:r>
      <w:r>
        <w:t>available in school for che</w:t>
      </w:r>
      <w:r w:rsidR="00153D19">
        <w:t>cking</w:t>
      </w:r>
      <w:r w:rsidR="00262DFB">
        <w:t xml:space="preserve"> by inspectors</w:t>
      </w:r>
    </w:p>
    <w:p w:rsidR="00153D19" w:rsidRPr="00F03AC2" w:rsidRDefault="00153D19" w:rsidP="00CB4E64">
      <w:pPr>
        <w:pStyle w:val="Body"/>
        <w:numPr>
          <w:ilvl w:val="3"/>
          <w:numId w:val="2"/>
        </w:numPr>
      </w:pPr>
      <w:r>
        <w:t>Admissions and attendance</w:t>
      </w:r>
    </w:p>
    <w:p w:rsidR="00153D19" w:rsidRPr="00F03AC2" w:rsidRDefault="00153D19" w:rsidP="00CB4E64">
      <w:pPr>
        <w:pStyle w:val="Body"/>
        <w:numPr>
          <w:ilvl w:val="3"/>
          <w:numId w:val="2"/>
        </w:numPr>
      </w:pPr>
      <w:r>
        <w:t>Anti-bullying</w:t>
      </w:r>
    </w:p>
    <w:p w:rsidR="00153D19" w:rsidRDefault="00153D19" w:rsidP="00CB4E64">
      <w:pPr>
        <w:pStyle w:val="Body"/>
        <w:numPr>
          <w:ilvl w:val="3"/>
          <w:numId w:val="2"/>
        </w:numPr>
      </w:pPr>
      <w:r>
        <w:t>Complaints</w:t>
      </w:r>
    </w:p>
    <w:p w:rsidR="005E47B2" w:rsidRPr="00F86DBE" w:rsidRDefault="00153D19" w:rsidP="00CB4E64">
      <w:pPr>
        <w:pStyle w:val="Body"/>
        <w:numPr>
          <w:ilvl w:val="3"/>
          <w:numId w:val="2"/>
        </w:numPr>
      </w:pPr>
      <w:r>
        <w:t>Policy requirements for boarders under NMS</w:t>
      </w:r>
    </w:p>
    <w:p w:rsidR="005E47B2" w:rsidRPr="00F86DBE" w:rsidRDefault="00B638DD" w:rsidP="00CB4E64">
      <w:pPr>
        <w:pStyle w:val="Body"/>
        <w:numPr>
          <w:ilvl w:val="0"/>
          <w:numId w:val="5"/>
        </w:numPr>
      </w:pPr>
      <w:r>
        <w:t>Make sure that there are no additional clauses or caveats included in policies that undermine or weaken the required elements.</w:t>
      </w:r>
    </w:p>
    <w:p w:rsidR="005E47B2" w:rsidRDefault="00B638DD" w:rsidP="00CB4E64">
      <w:pPr>
        <w:pStyle w:val="Body"/>
        <w:numPr>
          <w:ilvl w:val="0"/>
          <w:numId w:val="5"/>
        </w:numPr>
        <w:rPr>
          <w:position w:val="4"/>
          <w:sz w:val="29"/>
          <w:szCs w:val="29"/>
        </w:rPr>
      </w:pPr>
      <w:r>
        <w:t xml:space="preserve">Ensure that policies and procedures make clear </w:t>
      </w:r>
      <w:r w:rsidR="00262DFB">
        <w:t xml:space="preserve">where </w:t>
      </w:r>
      <w:r>
        <w:t>they include any additional requirements for EYFS and/or boarders</w:t>
      </w:r>
    </w:p>
    <w:p w:rsidR="00F86DBE" w:rsidRPr="00F86DBE" w:rsidRDefault="00B638DD" w:rsidP="00CB4E64">
      <w:pPr>
        <w:pStyle w:val="Body"/>
        <w:numPr>
          <w:ilvl w:val="0"/>
          <w:numId w:val="5"/>
        </w:numPr>
      </w:pPr>
      <w:r>
        <w:t xml:space="preserve">Use the SCR checking process that inspectors use </w:t>
      </w:r>
      <w:r w:rsidR="00262DFB">
        <w:t>(given as an appendix in the Regulatory H</w:t>
      </w:r>
      <w:r>
        <w:t>andbook</w:t>
      </w:r>
      <w:r w:rsidR="00262DFB">
        <w:t>)</w:t>
      </w:r>
      <w:r>
        <w:t xml:space="preserve"> - if you find gaps in the required checks </w:t>
      </w:r>
      <w:r w:rsidR="00262DFB">
        <w:t xml:space="preserve">correct them immediately </w:t>
      </w:r>
      <w:r>
        <w:t xml:space="preserve">if possible </w:t>
      </w:r>
      <w:r w:rsidR="00262DFB">
        <w:t>and/</w:t>
      </w:r>
      <w:r>
        <w:t xml:space="preserve">or seek advice from ISI. </w:t>
      </w:r>
    </w:p>
    <w:p w:rsidR="005E47B2" w:rsidRDefault="00B638DD" w:rsidP="00CB4E64">
      <w:pPr>
        <w:pStyle w:val="Body"/>
        <w:numPr>
          <w:ilvl w:val="0"/>
          <w:numId w:val="5"/>
        </w:numPr>
        <w:rPr>
          <w:position w:val="4"/>
          <w:sz w:val="29"/>
          <w:szCs w:val="29"/>
        </w:rPr>
      </w:pPr>
      <w:r>
        <w:t>Avoid the most common compliance failings:</w:t>
      </w:r>
    </w:p>
    <w:p w:rsidR="00F86DBE" w:rsidRPr="00F86DBE" w:rsidRDefault="00F86DBE" w:rsidP="001B58C5">
      <w:pPr>
        <w:pStyle w:val="ListParagraph"/>
        <w:ind w:left="480"/>
        <w:rPr>
          <w:rFonts w:ascii="Helvetica" w:hAnsi="Arial Unicode MS" w:cs="Arial Unicode MS"/>
          <w:color w:val="000000"/>
          <w:lang w:val="en-GB" w:eastAsia="en-GB"/>
        </w:rPr>
      </w:pPr>
    </w:p>
    <w:p w:rsidR="00A97923" w:rsidRDefault="00A97923" w:rsidP="00CB4E64">
      <w:pPr>
        <w:pStyle w:val="ListParagraph"/>
        <w:numPr>
          <w:ilvl w:val="5"/>
          <w:numId w:val="4"/>
        </w:numPr>
        <w:rPr>
          <w:rFonts w:ascii="Helvetica" w:hAnsi="Arial Unicode MS" w:cs="Arial Unicode MS"/>
          <w:color w:val="000000"/>
          <w:lang w:val="en-GB" w:eastAsia="en-GB"/>
        </w:rPr>
      </w:pPr>
      <w:r w:rsidRPr="00A97923">
        <w:rPr>
          <w:rFonts w:ascii="Helvetica" w:hAnsi="Arial Unicode MS" w:cs="Arial Unicode MS"/>
          <w:color w:val="000000"/>
          <w:lang w:val="en-GB" w:eastAsia="en-GB"/>
        </w:rPr>
        <w:t>Adults starting at the school before DBS</w:t>
      </w:r>
      <w:r w:rsidR="00262DFB">
        <w:rPr>
          <w:rFonts w:ascii="Helvetica" w:hAnsi="Arial Unicode MS" w:cs="Arial Unicode MS"/>
          <w:color w:val="000000"/>
          <w:lang w:val="en-GB" w:eastAsia="en-GB"/>
        </w:rPr>
        <w:t xml:space="preserve"> </w:t>
      </w:r>
      <w:r w:rsidRPr="00A97923">
        <w:rPr>
          <w:rFonts w:ascii="Helvetica" w:hAnsi="Arial Unicode MS" w:cs="Arial Unicode MS"/>
          <w:color w:val="000000"/>
          <w:lang w:val="en-GB" w:eastAsia="en-GB"/>
        </w:rPr>
        <w:t>(previously CRB) and other checks (list 99, references etc.</w:t>
      </w:r>
      <w:r w:rsidR="00262DFB">
        <w:rPr>
          <w:rFonts w:ascii="Helvetica" w:hAnsi="Arial Unicode MS" w:cs="Arial Unicode MS"/>
          <w:color w:val="000000"/>
          <w:lang w:val="en-GB" w:eastAsia="en-GB"/>
        </w:rPr>
        <w:t xml:space="preserve">) have been completed, taking account of requirements for supervision </w:t>
      </w:r>
      <w:r w:rsidRPr="00A97923">
        <w:rPr>
          <w:rFonts w:ascii="Helvetica" w:hAnsi="Arial Unicode MS" w:cs="Arial Unicode MS"/>
          <w:color w:val="000000"/>
          <w:lang w:val="en-GB" w:eastAsia="en-GB"/>
        </w:rPr>
        <w:t xml:space="preserve">where applicable </w:t>
      </w:r>
    </w:p>
    <w:p w:rsidR="00375B63" w:rsidRPr="00A97923" w:rsidRDefault="00375B63" w:rsidP="00375B63">
      <w:pPr>
        <w:pStyle w:val="ListParagraph"/>
        <w:ind w:left="1091"/>
        <w:rPr>
          <w:rFonts w:ascii="Helvetica" w:hAnsi="Arial Unicode MS" w:cs="Arial Unicode MS"/>
          <w:color w:val="000000"/>
          <w:lang w:val="en-GB" w:eastAsia="en-GB"/>
        </w:rPr>
      </w:pPr>
    </w:p>
    <w:p w:rsidR="00A97923" w:rsidRDefault="00A97923" w:rsidP="00CB4E64">
      <w:pPr>
        <w:pStyle w:val="ListParagraph"/>
        <w:numPr>
          <w:ilvl w:val="5"/>
          <w:numId w:val="4"/>
        </w:numPr>
        <w:rPr>
          <w:rFonts w:ascii="Helvetica" w:hAnsi="Arial Unicode MS" w:cs="Arial Unicode MS"/>
          <w:color w:val="000000"/>
          <w:lang w:val="en-GB" w:eastAsia="en-GB"/>
        </w:rPr>
      </w:pPr>
      <w:r>
        <w:rPr>
          <w:rFonts w:ascii="Helvetica" w:hAnsi="Arial Unicode MS" w:cs="Arial Unicode MS"/>
          <w:color w:val="000000"/>
          <w:lang w:val="en-GB" w:eastAsia="en-GB"/>
        </w:rPr>
        <w:t>Incomplete checks for non-permanent staff</w:t>
      </w:r>
    </w:p>
    <w:p w:rsidR="00A97923" w:rsidRDefault="00A97923" w:rsidP="00A97923">
      <w:pPr>
        <w:pStyle w:val="ListParagraph"/>
        <w:ind w:left="1091"/>
        <w:rPr>
          <w:rFonts w:ascii="Helvetica" w:hAnsi="Arial Unicode MS" w:cs="Arial Unicode MS"/>
          <w:color w:val="000000"/>
          <w:lang w:val="en-GB" w:eastAsia="en-GB"/>
        </w:rPr>
      </w:pPr>
    </w:p>
    <w:p w:rsidR="00A97923" w:rsidRDefault="00A97923" w:rsidP="00CB4E64">
      <w:pPr>
        <w:pStyle w:val="ListParagraph"/>
        <w:numPr>
          <w:ilvl w:val="5"/>
          <w:numId w:val="4"/>
        </w:numPr>
        <w:rPr>
          <w:rFonts w:ascii="Helvetica" w:hAnsi="Arial Unicode MS" w:cs="Arial Unicode MS"/>
          <w:color w:val="000000"/>
          <w:lang w:val="en-GB" w:eastAsia="en-GB"/>
        </w:rPr>
      </w:pPr>
      <w:r w:rsidRPr="00A97923">
        <w:rPr>
          <w:rFonts w:ascii="Helvetica" w:hAnsi="Arial Unicode MS" w:cs="Arial Unicode MS"/>
          <w:color w:val="000000"/>
          <w:lang w:val="en-GB" w:eastAsia="en-GB"/>
        </w:rPr>
        <w:lastRenderedPageBreak/>
        <w:t xml:space="preserve">Additional </w:t>
      </w:r>
      <w:r w:rsidR="00262DFB">
        <w:rPr>
          <w:rFonts w:ascii="Helvetica" w:hAnsi="Arial Unicode MS" w:cs="Arial Unicode MS"/>
          <w:color w:val="000000"/>
          <w:lang w:val="en-GB" w:eastAsia="en-GB"/>
        </w:rPr>
        <w:t>requirements</w:t>
      </w:r>
      <w:r w:rsidRPr="00A97923">
        <w:rPr>
          <w:rFonts w:ascii="Helvetica" w:hAnsi="Arial Unicode MS" w:cs="Arial Unicode MS"/>
          <w:color w:val="000000"/>
          <w:lang w:val="en-GB" w:eastAsia="en-GB"/>
        </w:rPr>
        <w:t xml:space="preserve"> for EYFS and/or boarders </w:t>
      </w:r>
      <w:r w:rsidR="00262DFB">
        <w:rPr>
          <w:rFonts w:ascii="Helvetica" w:hAnsi="Arial Unicode MS" w:cs="Arial Unicode MS"/>
          <w:color w:val="000000"/>
          <w:lang w:val="en-GB" w:eastAsia="en-GB"/>
        </w:rPr>
        <w:t>are missing from policies</w:t>
      </w:r>
    </w:p>
    <w:p w:rsidR="00F86DBE" w:rsidRPr="00F86DBE" w:rsidRDefault="00F86DBE" w:rsidP="00F86DBE">
      <w:pPr>
        <w:pStyle w:val="ListParagraph"/>
        <w:ind w:left="480"/>
        <w:rPr>
          <w:rFonts w:ascii="Helvetica" w:hAnsi="Arial Unicode MS" w:cs="Arial Unicode MS"/>
          <w:color w:val="000000"/>
          <w:lang w:val="en-GB" w:eastAsia="en-GB"/>
        </w:rPr>
      </w:pPr>
    </w:p>
    <w:p w:rsidR="00F86DBE" w:rsidRPr="00F86DBE" w:rsidRDefault="00F86DBE" w:rsidP="00CB4E64">
      <w:pPr>
        <w:pStyle w:val="ListParagraph"/>
        <w:numPr>
          <w:ilvl w:val="5"/>
          <w:numId w:val="4"/>
        </w:numPr>
        <w:rPr>
          <w:rFonts w:ascii="Helvetica" w:hAnsi="Arial Unicode MS" w:cs="Arial Unicode MS"/>
          <w:color w:val="000000"/>
          <w:lang w:val="en-GB" w:eastAsia="en-GB"/>
        </w:rPr>
      </w:pPr>
      <w:r w:rsidRPr="00F86DBE">
        <w:rPr>
          <w:rFonts w:ascii="Helvetica" w:hAnsi="Arial Unicode MS" w:cs="Arial Unicode MS"/>
          <w:color w:val="000000"/>
          <w:lang w:val="en-GB" w:eastAsia="en-GB"/>
        </w:rPr>
        <w:t xml:space="preserve">Delay in contacting LADO or social services for advice when concerns are raised </w:t>
      </w:r>
    </w:p>
    <w:p w:rsidR="00F86DBE" w:rsidRPr="00F86DBE" w:rsidRDefault="00A97923" w:rsidP="00CB4E64">
      <w:pPr>
        <w:pStyle w:val="Body"/>
        <w:numPr>
          <w:ilvl w:val="5"/>
          <w:numId w:val="4"/>
        </w:numPr>
      </w:pPr>
      <w:r>
        <w:t>Failure to refer i</w:t>
      </w:r>
      <w:r w:rsidR="00F86DBE" w:rsidRPr="00F86DBE">
        <w:t>ndividuals suspected of posing a risk or potential risk to children to relevant agencies as required and within the proper timescales</w:t>
      </w:r>
    </w:p>
    <w:p w:rsidR="005E47B2" w:rsidRPr="00F86DBE" w:rsidRDefault="00B638DD" w:rsidP="00CB4E64">
      <w:pPr>
        <w:pStyle w:val="Body"/>
        <w:numPr>
          <w:ilvl w:val="5"/>
          <w:numId w:val="4"/>
        </w:numPr>
      </w:pPr>
      <w:r w:rsidRPr="00F86DBE">
        <w:t xml:space="preserve">Safeguarding policies not in accordance with </w:t>
      </w:r>
      <w:r w:rsidR="00262DFB">
        <w:t xml:space="preserve">the </w:t>
      </w:r>
      <w:r w:rsidRPr="00F86DBE">
        <w:t>requirements and/or not implemented</w:t>
      </w:r>
      <w:r w:rsidR="00262DFB">
        <w:t xml:space="preserve"> effectively</w:t>
      </w:r>
    </w:p>
    <w:p w:rsidR="005E47B2" w:rsidRPr="00F86DBE" w:rsidRDefault="00B638DD" w:rsidP="00CB4E64">
      <w:pPr>
        <w:pStyle w:val="Body"/>
        <w:numPr>
          <w:ilvl w:val="5"/>
          <w:numId w:val="4"/>
        </w:numPr>
      </w:pPr>
      <w:r w:rsidRPr="00F86DBE">
        <w:t xml:space="preserve">Complaints not handled in accordance with a compliant </w:t>
      </w:r>
      <w:r w:rsidR="00262DFB">
        <w:t xml:space="preserve">complaints </w:t>
      </w:r>
      <w:r w:rsidRPr="00F86DBE">
        <w:t>policy</w:t>
      </w:r>
    </w:p>
    <w:p w:rsidR="005E47B2" w:rsidRPr="00F86DBE" w:rsidRDefault="00B638DD" w:rsidP="00CB4E64">
      <w:pPr>
        <w:pStyle w:val="Body"/>
        <w:numPr>
          <w:ilvl w:val="5"/>
          <w:numId w:val="4"/>
        </w:numPr>
      </w:pPr>
      <w:r w:rsidRPr="00F86DBE">
        <w:t xml:space="preserve">Complaints appeals panel not properly constructed </w:t>
      </w:r>
    </w:p>
    <w:p w:rsidR="005E47B2" w:rsidRPr="00F86DBE" w:rsidRDefault="00B638DD" w:rsidP="00CB4E64">
      <w:pPr>
        <w:pStyle w:val="Body"/>
        <w:numPr>
          <w:ilvl w:val="5"/>
          <w:numId w:val="4"/>
        </w:numPr>
      </w:pPr>
      <w:r w:rsidRPr="00F86DBE">
        <w:t>Not following statutory guidance</w:t>
      </w:r>
      <w:r w:rsidR="00262DFB">
        <w:t>,</w:t>
      </w:r>
      <w:r w:rsidRPr="00F86DBE">
        <w:t xml:space="preserve"> especially in relation to safeguarding and child protection</w:t>
      </w:r>
    </w:p>
    <w:p w:rsidR="005E47B2" w:rsidRDefault="00B638DD" w:rsidP="00CB4E64">
      <w:pPr>
        <w:pStyle w:val="Body"/>
        <w:numPr>
          <w:ilvl w:val="5"/>
          <w:numId w:val="4"/>
        </w:numPr>
      </w:pPr>
      <w:r w:rsidRPr="00F86DBE">
        <w:t xml:space="preserve">Governors/proprietors not exercising proper oversight of compliance, including the annual review of child protection policy and practice </w:t>
      </w:r>
    </w:p>
    <w:p w:rsidR="001B58C5" w:rsidRPr="001B58C5" w:rsidRDefault="001B58C5" w:rsidP="0071369D">
      <w:pPr>
        <w:pStyle w:val="Body"/>
      </w:pPr>
    </w:p>
    <w:p w:rsidR="00A97923" w:rsidRDefault="001B58C5" w:rsidP="00A97923">
      <w:pPr>
        <w:pStyle w:val="Body"/>
        <w:jc w:val="center"/>
        <w:rPr>
          <w:sz w:val="28"/>
          <w:szCs w:val="28"/>
        </w:rPr>
      </w:pPr>
      <w:r w:rsidRPr="001B58C5">
        <w:rPr>
          <w:sz w:val="28"/>
          <w:szCs w:val="28"/>
        </w:rPr>
        <w:t>ISI can advise on any of the points above</w:t>
      </w:r>
    </w:p>
    <w:p w:rsidR="00F86DBE" w:rsidRPr="001B58C5" w:rsidRDefault="001B58C5" w:rsidP="00A97923">
      <w:pPr>
        <w:pStyle w:val="Body"/>
        <w:jc w:val="center"/>
        <w:rPr>
          <w:sz w:val="28"/>
          <w:szCs w:val="28"/>
        </w:rPr>
      </w:pPr>
      <w:r w:rsidRPr="001B58C5">
        <w:rPr>
          <w:sz w:val="28"/>
          <w:szCs w:val="28"/>
        </w:rPr>
        <w:t xml:space="preserve"> (</w:t>
      </w:r>
      <w:r w:rsidR="0071369D" w:rsidRPr="001B58C5">
        <w:rPr>
          <w:sz w:val="28"/>
          <w:szCs w:val="28"/>
        </w:rPr>
        <w:t>Email</w:t>
      </w:r>
      <w:r w:rsidRPr="001B58C5">
        <w:rPr>
          <w:sz w:val="28"/>
          <w:szCs w:val="28"/>
        </w:rPr>
        <w:t>:support@isi.net)</w:t>
      </w:r>
    </w:p>
    <w:p w:rsidR="001B58C5" w:rsidRPr="00F86DBE" w:rsidRDefault="001B58C5" w:rsidP="001B58C5">
      <w:pPr>
        <w:pStyle w:val="Body"/>
      </w:pPr>
    </w:p>
    <w:sectPr w:rsidR="001B58C5" w:rsidRPr="00F86DBE">
      <w:headerReference w:type="default" r:id="rId9"/>
      <w:footerReference w:type="default" r:id="rId10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AD9" w:rsidRDefault="00991AD9">
      <w:r>
        <w:separator/>
      </w:r>
    </w:p>
  </w:endnote>
  <w:endnote w:type="continuationSeparator" w:id="0">
    <w:p w:rsidR="00991AD9" w:rsidRDefault="0099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B2" w:rsidRDefault="00B638DD">
    <w:pPr>
      <w:pStyle w:val="HeaderFooter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5156E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AD9" w:rsidRDefault="00991AD9">
      <w:r>
        <w:separator/>
      </w:r>
    </w:p>
  </w:footnote>
  <w:footnote w:type="continuationSeparator" w:id="0">
    <w:p w:rsidR="00991AD9" w:rsidRDefault="0099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B2" w:rsidRDefault="005E47B2">
    <w:pPr>
      <w:pStyle w:val="HeaderFooter"/>
      <w:tabs>
        <w:tab w:val="clear" w:pos="9020"/>
        <w:tab w:val="center" w:pos="4710"/>
        <w:tab w:val="right" w:pos="9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11"/>
    <w:multiLevelType w:val="multilevel"/>
    <w:tmpl w:val="66B0001A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position w:val="4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0A39694C"/>
    <w:multiLevelType w:val="multilevel"/>
    <w:tmpl w:val="9D704D32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position w:val="4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"/>
      <w:lvlJc w:val="left"/>
      <w:pPr>
        <w:tabs>
          <w:tab w:val="num" w:pos="1091"/>
        </w:tabs>
        <w:ind w:left="1091" w:hanging="240"/>
      </w:pPr>
      <w:rPr>
        <w:rFonts w:ascii="Symbol" w:hAnsi="Symbol"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2">
    <w:nsid w:val="485C2D7F"/>
    <w:multiLevelType w:val="multilevel"/>
    <w:tmpl w:val="66B0001A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hAnsi="Symbol" w:hint="default"/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position w:val="4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240"/>
      </w:pPr>
      <w:rPr>
        <w:rFonts w:ascii="Symbol" w:hAnsi="Symbol"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3">
    <w:nsid w:val="4C437C91"/>
    <w:multiLevelType w:val="multilevel"/>
    <w:tmpl w:val="5EBCA522"/>
    <w:styleLink w:val="NoteTaking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240"/>
      </w:pPr>
      <w:rPr>
        <w:rFonts w:ascii="Symbol" w:hAnsi="Symbol" w:hint="default"/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4">
    <w:nsid w:val="76F45043"/>
    <w:multiLevelType w:val="hybridMultilevel"/>
    <w:tmpl w:val="70304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B2"/>
    <w:rsid w:val="0007069E"/>
    <w:rsid w:val="000A115B"/>
    <w:rsid w:val="00153D19"/>
    <w:rsid w:val="001B58C5"/>
    <w:rsid w:val="00262DFB"/>
    <w:rsid w:val="00305D69"/>
    <w:rsid w:val="00375B63"/>
    <w:rsid w:val="005156E5"/>
    <w:rsid w:val="005E47B2"/>
    <w:rsid w:val="006175F6"/>
    <w:rsid w:val="0071369D"/>
    <w:rsid w:val="00786535"/>
    <w:rsid w:val="008A5AD6"/>
    <w:rsid w:val="00991AD9"/>
    <w:rsid w:val="00A97923"/>
    <w:rsid w:val="00B575D4"/>
    <w:rsid w:val="00B638DD"/>
    <w:rsid w:val="00C76367"/>
    <w:rsid w:val="00CB4E64"/>
    <w:rsid w:val="00F03AC2"/>
    <w:rsid w:val="00F24CFF"/>
    <w:rsid w:val="00F8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C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6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C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F03A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AC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3A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AC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86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11BB-AB6E-49CE-8963-E52C579E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Kingsland</dc:creator>
  <cp:lastModifiedBy>Jill Wharfe</cp:lastModifiedBy>
  <cp:revision>2</cp:revision>
  <cp:lastPrinted>2014-03-17T12:52:00Z</cp:lastPrinted>
  <dcterms:created xsi:type="dcterms:W3CDTF">2014-05-09T14:48:00Z</dcterms:created>
  <dcterms:modified xsi:type="dcterms:W3CDTF">2014-05-09T14:48:00Z</dcterms:modified>
</cp:coreProperties>
</file>